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5DE1" w14:textId="77777777" w:rsidR="00A55380" w:rsidRDefault="00A55380" w:rsidP="008C6602">
      <w:pPr>
        <w:spacing w:line="276" w:lineRule="auto"/>
        <w:ind w:left="0"/>
        <w:rPr>
          <w:sz w:val="24"/>
          <w:szCs w:val="24"/>
        </w:rPr>
      </w:pPr>
      <w:r>
        <w:rPr>
          <w:sz w:val="24"/>
          <w:szCs w:val="24"/>
        </w:rPr>
        <w:t>Notes to Teachers</w:t>
      </w:r>
    </w:p>
    <w:p w14:paraId="20FBD9B7" w14:textId="26BFF1A4" w:rsidR="00A55380" w:rsidRPr="00A55380" w:rsidRDefault="00A55380" w:rsidP="008C6602">
      <w:pPr>
        <w:spacing w:line="276" w:lineRule="auto"/>
        <w:ind w:left="0"/>
        <w:rPr>
          <w:i/>
          <w:iCs/>
          <w:sz w:val="24"/>
          <w:szCs w:val="24"/>
        </w:rPr>
      </w:pPr>
      <w:r w:rsidRPr="00A55380">
        <w:rPr>
          <w:i/>
          <w:iCs/>
          <w:sz w:val="24"/>
          <w:szCs w:val="24"/>
        </w:rPr>
        <w:t>Mennonite History for Young People</w:t>
      </w:r>
    </w:p>
    <w:p w14:paraId="2CA5F04E" w14:textId="5DAF6F94" w:rsidR="00A55380" w:rsidRDefault="00A55380" w:rsidP="008C6602">
      <w:pPr>
        <w:spacing w:line="276" w:lineRule="auto"/>
        <w:ind w:left="0"/>
        <w:rPr>
          <w:sz w:val="24"/>
          <w:szCs w:val="24"/>
        </w:rPr>
      </w:pPr>
      <w:r>
        <w:rPr>
          <w:sz w:val="24"/>
          <w:szCs w:val="24"/>
        </w:rPr>
        <w:t>Worksheet 1</w:t>
      </w:r>
    </w:p>
    <w:p w14:paraId="29DB2678" w14:textId="77777777" w:rsidR="00A55380" w:rsidRDefault="00A55380" w:rsidP="008C6602">
      <w:pPr>
        <w:spacing w:line="276" w:lineRule="auto"/>
        <w:ind w:left="0"/>
        <w:rPr>
          <w:sz w:val="24"/>
          <w:szCs w:val="24"/>
        </w:rPr>
      </w:pPr>
    </w:p>
    <w:p w14:paraId="681A7D89" w14:textId="08C35C48" w:rsidR="003A6BEA" w:rsidRPr="00A55380" w:rsidRDefault="00A55380" w:rsidP="00A55380">
      <w:pPr>
        <w:ind w:left="0"/>
        <w:rPr>
          <w:b/>
          <w:bCs/>
          <w:sz w:val="24"/>
          <w:szCs w:val="24"/>
        </w:rPr>
      </w:pPr>
      <w:r w:rsidRPr="004F3493">
        <w:rPr>
          <w:b/>
          <w:bCs/>
          <w:sz w:val="24"/>
          <w:szCs w:val="24"/>
        </w:rPr>
        <w:t>Part I – You and Your Ancestors</w:t>
      </w:r>
    </w:p>
    <w:p w14:paraId="5DB85B59" w14:textId="77777777" w:rsidR="00A55380" w:rsidRDefault="00B07C15" w:rsidP="00A55380">
      <w:pPr>
        <w:pStyle w:val="ListParagraph"/>
        <w:numPr>
          <w:ilvl w:val="0"/>
          <w:numId w:val="1"/>
        </w:numPr>
        <w:spacing w:line="276" w:lineRule="auto"/>
        <w:ind w:left="0"/>
        <w:rPr>
          <w:sz w:val="24"/>
          <w:szCs w:val="24"/>
        </w:rPr>
      </w:pPr>
      <w:r w:rsidRPr="00B07C15">
        <w:rPr>
          <w:sz w:val="24"/>
          <w:szCs w:val="24"/>
        </w:rPr>
        <w:t xml:space="preserve">For the second set of questions, numbers 8-19, </w:t>
      </w:r>
      <w:r>
        <w:rPr>
          <w:sz w:val="24"/>
          <w:szCs w:val="24"/>
        </w:rPr>
        <w:t>i</w:t>
      </w:r>
      <w:r w:rsidR="008C6602" w:rsidRPr="00B07C15">
        <w:rPr>
          <w:sz w:val="24"/>
          <w:szCs w:val="24"/>
        </w:rPr>
        <w:t xml:space="preserve">f </w:t>
      </w:r>
      <w:r>
        <w:rPr>
          <w:sz w:val="24"/>
          <w:szCs w:val="24"/>
        </w:rPr>
        <w:t>the student</w:t>
      </w:r>
      <w:r w:rsidR="008C6602" w:rsidRPr="00B07C15">
        <w:rPr>
          <w:sz w:val="24"/>
          <w:szCs w:val="24"/>
        </w:rPr>
        <w:t xml:space="preserve"> ha</w:t>
      </w:r>
      <w:r>
        <w:rPr>
          <w:sz w:val="24"/>
          <w:szCs w:val="24"/>
        </w:rPr>
        <w:t>s</w:t>
      </w:r>
      <w:r w:rsidR="008C6602" w:rsidRPr="00B07C15">
        <w:rPr>
          <w:sz w:val="24"/>
          <w:szCs w:val="24"/>
        </w:rPr>
        <w:t xml:space="preserve"> access to </w:t>
      </w:r>
      <w:bookmarkStart w:id="0" w:name="_Hlk68609355"/>
      <w:r w:rsidR="008C6602" w:rsidRPr="00B07C15">
        <w:rPr>
          <w:i/>
          <w:iCs/>
          <w:sz w:val="24"/>
          <w:szCs w:val="24"/>
        </w:rPr>
        <w:t>Volume 3 A New Home</w:t>
      </w:r>
      <w:bookmarkEnd w:id="0"/>
      <w:r w:rsidR="00897911">
        <w:rPr>
          <w:i/>
          <w:iCs/>
          <w:sz w:val="24"/>
          <w:szCs w:val="24"/>
        </w:rPr>
        <w:t>,</w:t>
      </w:r>
      <w:r w:rsidR="008C6602" w:rsidRPr="00B07C15">
        <w:rPr>
          <w:sz w:val="24"/>
          <w:szCs w:val="24"/>
        </w:rPr>
        <w:t xml:space="preserve"> it </w:t>
      </w:r>
      <w:r w:rsidR="00897911">
        <w:rPr>
          <w:sz w:val="24"/>
          <w:szCs w:val="24"/>
        </w:rPr>
        <w:t>may be</w:t>
      </w:r>
      <w:r w:rsidR="008C6602" w:rsidRPr="00B07C15">
        <w:rPr>
          <w:sz w:val="24"/>
          <w:szCs w:val="24"/>
        </w:rPr>
        <w:t xml:space="preserve"> helpful</w:t>
      </w:r>
      <w:r w:rsidR="00897911">
        <w:rPr>
          <w:sz w:val="24"/>
          <w:szCs w:val="24"/>
        </w:rPr>
        <w:t xml:space="preserve"> to </w:t>
      </w:r>
      <w:r w:rsidR="008C6602" w:rsidRPr="00B07C15">
        <w:rPr>
          <w:sz w:val="24"/>
          <w:szCs w:val="24"/>
        </w:rPr>
        <w:t xml:space="preserve">check Appendix Two for </w:t>
      </w:r>
      <w:r w:rsidR="00897911">
        <w:rPr>
          <w:sz w:val="24"/>
          <w:szCs w:val="24"/>
        </w:rPr>
        <w:t>figuring out the</w:t>
      </w:r>
      <w:r w:rsidR="008C6602" w:rsidRPr="00B07C15">
        <w:rPr>
          <w:sz w:val="24"/>
          <w:szCs w:val="24"/>
        </w:rPr>
        <w:t xml:space="preserve"> names of Colonies in Mexico.</w:t>
      </w:r>
      <w:r w:rsidR="00897911">
        <w:rPr>
          <w:sz w:val="24"/>
          <w:szCs w:val="24"/>
        </w:rPr>
        <w:t xml:space="preserve"> </w:t>
      </w:r>
      <w:r w:rsidR="00897911">
        <w:rPr>
          <w:sz w:val="24"/>
          <w:szCs w:val="24"/>
        </w:rPr>
        <w:t xml:space="preserve">If </w:t>
      </w:r>
      <w:r w:rsidR="00897911">
        <w:rPr>
          <w:sz w:val="24"/>
          <w:szCs w:val="24"/>
        </w:rPr>
        <w:t>the student</w:t>
      </w:r>
      <w:r w:rsidR="00897911">
        <w:rPr>
          <w:sz w:val="24"/>
          <w:szCs w:val="24"/>
        </w:rPr>
        <w:t xml:space="preserve"> ha</w:t>
      </w:r>
      <w:r w:rsidR="00897911">
        <w:rPr>
          <w:sz w:val="24"/>
          <w:szCs w:val="24"/>
        </w:rPr>
        <w:t>s</w:t>
      </w:r>
      <w:r w:rsidR="00897911">
        <w:rPr>
          <w:sz w:val="24"/>
          <w:szCs w:val="24"/>
        </w:rPr>
        <w:t xml:space="preserve"> access to</w:t>
      </w:r>
      <w:r w:rsidR="00897911" w:rsidRPr="00862E13">
        <w:rPr>
          <w:sz w:val="24"/>
          <w:szCs w:val="24"/>
        </w:rPr>
        <w:t xml:space="preserve"> </w:t>
      </w:r>
      <w:r w:rsidR="00897911" w:rsidRPr="00862E13">
        <w:rPr>
          <w:i/>
          <w:iCs/>
          <w:sz w:val="24"/>
          <w:szCs w:val="24"/>
        </w:rPr>
        <w:t>Volume</w:t>
      </w:r>
      <w:r w:rsidR="00897911">
        <w:rPr>
          <w:i/>
          <w:iCs/>
          <w:sz w:val="24"/>
          <w:szCs w:val="24"/>
        </w:rPr>
        <w:t xml:space="preserve"> 2 – Discovering Mexico</w:t>
      </w:r>
      <w:r w:rsidR="00897911">
        <w:rPr>
          <w:sz w:val="24"/>
          <w:szCs w:val="24"/>
        </w:rPr>
        <w:t>,</w:t>
      </w:r>
      <w:r w:rsidR="00897911">
        <w:rPr>
          <w:sz w:val="24"/>
          <w:szCs w:val="24"/>
        </w:rPr>
        <w:t xml:space="preserve"> they can</w:t>
      </w:r>
      <w:r w:rsidR="00897911">
        <w:rPr>
          <w:sz w:val="24"/>
          <w:szCs w:val="24"/>
        </w:rPr>
        <w:t xml:space="preserve"> check out the map of the earliest Mennonite villages in Manitoba Colony and Swift Colony in Mexico.</w:t>
      </w:r>
      <w:r w:rsidR="00897911">
        <w:rPr>
          <w:sz w:val="24"/>
          <w:szCs w:val="24"/>
        </w:rPr>
        <w:t xml:space="preserve"> </w:t>
      </w:r>
    </w:p>
    <w:p w14:paraId="2DF5FE51" w14:textId="77777777" w:rsidR="00A55380" w:rsidRDefault="00897911" w:rsidP="00A55380">
      <w:pPr>
        <w:pStyle w:val="ListParagraph"/>
        <w:numPr>
          <w:ilvl w:val="0"/>
          <w:numId w:val="1"/>
        </w:numPr>
        <w:spacing w:line="276" w:lineRule="auto"/>
        <w:ind w:left="0"/>
        <w:rPr>
          <w:sz w:val="24"/>
          <w:szCs w:val="24"/>
        </w:rPr>
      </w:pPr>
      <w:r>
        <w:rPr>
          <w:sz w:val="24"/>
          <w:szCs w:val="24"/>
        </w:rPr>
        <w:t>The names of Colonies and villages are often brought along to other parts of the country and other countries. This may even help those who do not come from this part of Mexico to figure out or spell the names</w:t>
      </w:r>
      <w:r w:rsidR="00A55380">
        <w:rPr>
          <w:sz w:val="24"/>
          <w:szCs w:val="24"/>
        </w:rPr>
        <w:t xml:space="preserve"> of their ancestor’s home communities</w:t>
      </w:r>
      <w:r>
        <w:rPr>
          <w:sz w:val="24"/>
          <w:szCs w:val="24"/>
        </w:rPr>
        <w:t>.</w:t>
      </w:r>
    </w:p>
    <w:p w14:paraId="668535FD" w14:textId="6E181BF8" w:rsidR="008C6602" w:rsidRDefault="00A55380" w:rsidP="00A55380">
      <w:pPr>
        <w:pStyle w:val="ListParagraph"/>
        <w:numPr>
          <w:ilvl w:val="0"/>
          <w:numId w:val="1"/>
        </w:numPr>
        <w:spacing w:line="276" w:lineRule="auto"/>
        <w:ind w:left="0"/>
        <w:rPr>
          <w:sz w:val="24"/>
          <w:szCs w:val="24"/>
        </w:rPr>
      </w:pPr>
      <w:r>
        <w:rPr>
          <w:sz w:val="24"/>
          <w:szCs w:val="24"/>
        </w:rPr>
        <w:t>By carrying on the names of their former villages and colonies, s</w:t>
      </w:r>
      <w:r w:rsidR="00897911">
        <w:rPr>
          <w:sz w:val="24"/>
          <w:szCs w:val="24"/>
        </w:rPr>
        <w:t xml:space="preserve">ettling people </w:t>
      </w:r>
      <w:r>
        <w:rPr>
          <w:sz w:val="24"/>
          <w:szCs w:val="24"/>
        </w:rPr>
        <w:t>can</w:t>
      </w:r>
      <w:r w:rsidR="00897911">
        <w:rPr>
          <w:sz w:val="24"/>
          <w:szCs w:val="24"/>
        </w:rPr>
        <w:t xml:space="preserve"> </w:t>
      </w:r>
      <w:r>
        <w:rPr>
          <w:sz w:val="24"/>
          <w:szCs w:val="24"/>
        </w:rPr>
        <w:t>“</w:t>
      </w:r>
      <w:r w:rsidR="00897911">
        <w:rPr>
          <w:sz w:val="24"/>
          <w:szCs w:val="24"/>
        </w:rPr>
        <w:t>carry</w:t>
      </w:r>
      <w:r>
        <w:rPr>
          <w:sz w:val="24"/>
          <w:szCs w:val="24"/>
        </w:rPr>
        <w:t>”</w:t>
      </w:r>
      <w:r w:rsidR="00897911">
        <w:rPr>
          <w:sz w:val="24"/>
          <w:szCs w:val="24"/>
        </w:rPr>
        <w:t xml:space="preserve"> their homeland with them.</w:t>
      </w:r>
      <w:r>
        <w:rPr>
          <w:sz w:val="24"/>
          <w:szCs w:val="24"/>
        </w:rPr>
        <w:t xml:space="preserve"> It allows for a sense of familiarity in an unfamiliar place and safety in an environment that may be perceived as hostile.</w:t>
      </w:r>
    </w:p>
    <w:p w14:paraId="1B4467BA" w14:textId="59212439" w:rsidR="00A55380" w:rsidRDefault="00A55380" w:rsidP="00A55380">
      <w:pPr>
        <w:spacing w:line="276" w:lineRule="auto"/>
        <w:ind w:left="0"/>
        <w:rPr>
          <w:sz w:val="24"/>
          <w:szCs w:val="24"/>
        </w:rPr>
      </w:pPr>
    </w:p>
    <w:p w14:paraId="52BF125C" w14:textId="77777777" w:rsidR="00A55380" w:rsidRPr="00810941" w:rsidRDefault="00A55380" w:rsidP="00A55380">
      <w:pPr>
        <w:ind w:left="0"/>
        <w:rPr>
          <w:b/>
          <w:bCs/>
          <w:sz w:val="24"/>
          <w:szCs w:val="24"/>
        </w:rPr>
      </w:pPr>
      <w:r w:rsidRPr="00810941">
        <w:rPr>
          <w:b/>
          <w:bCs/>
          <w:sz w:val="24"/>
          <w:szCs w:val="24"/>
        </w:rPr>
        <w:t>Part II – Family History</w:t>
      </w:r>
    </w:p>
    <w:p w14:paraId="677794F1" w14:textId="3214604C" w:rsidR="00A55380" w:rsidRPr="00A55380" w:rsidRDefault="00A55380" w:rsidP="00A55380">
      <w:pPr>
        <w:spacing w:line="276" w:lineRule="auto"/>
        <w:ind w:left="0"/>
        <w:rPr>
          <w:sz w:val="24"/>
          <w:szCs w:val="24"/>
        </w:rPr>
      </w:pPr>
    </w:p>
    <w:p w14:paraId="3DB979CE" w14:textId="08D2B544" w:rsidR="008C6602" w:rsidRPr="00E74FA2" w:rsidRDefault="008C6602" w:rsidP="00E74FA2">
      <w:pPr>
        <w:pStyle w:val="ListParagraph"/>
        <w:numPr>
          <w:ilvl w:val="0"/>
          <w:numId w:val="1"/>
        </w:numPr>
        <w:rPr>
          <w:sz w:val="24"/>
          <w:szCs w:val="24"/>
        </w:rPr>
      </w:pPr>
      <w:r w:rsidRPr="00E74FA2">
        <w:rPr>
          <w:sz w:val="24"/>
          <w:szCs w:val="24"/>
        </w:rPr>
        <w:t xml:space="preserve">In </w:t>
      </w:r>
      <w:r w:rsidRPr="00E74FA2">
        <w:rPr>
          <w:i/>
          <w:iCs/>
          <w:sz w:val="24"/>
          <w:szCs w:val="24"/>
        </w:rPr>
        <w:t>Volume 3 – A New Home</w:t>
      </w:r>
      <w:r w:rsidRPr="00E74FA2">
        <w:rPr>
          <w:sz w:val="24"/>
          <w:szCs w:val="24"/>
        </w:rPr>
        <w:t>, the first chapter look</w:t>
      </w:r>
      <w:r w:rsidR="00E74FA2">
        <w:rPr>
          <w:sz w:val="24"/>
          <w:szCs w:val="24"/>
        </w:rPr>
        <w:t>s</w:t>
      </w:r>
      <w:r w:rsidRPr="00E74FA2">
        <w:rPr>
          <w:sz w:val="24"/>
          <w:szCs w:val="24"/>
        </w:rPr>
        <w:t xml:space="preserve"> at what a Colony </w:t>
      </w:r>
      <w:r w:rsidRPr="00E74FA2">
        <w:rPr>
          <w:i/>
          <w:iCs/>
          <w:sz w:val="24"/>
          <w:szCs w:val="24"/>
        </w:rPr>
        <w:t>is</w:t>
      </w:r>
      <w:r w:rsidRPr="00E74FA2">
        <w:rPr>
          <w:sz w:val="24"/>
          <w:szCs w:val="24"/>
        </w:rPr>
        <w:t>, and</w:t>
      </w:r>
      <w:r w:rsidR="00E74FA2">
        <w:rPr>
          <w:sz w:val="24"/>
          <w:szCs w:val="24"/>
        </w:rPr>
        <w:t xml:space="preserve"> the next two</w:t>
      </w:r>
      <w:r w:rsidRPr="00E74FA2">
        <w:rPr>
          <w:sz w:val="24"/>
          <w:szCs w:val="24"/>
        </w:rPr>
        <w:t xml:space="preserve"> what life was like for children in the early years</w:t>
      </w:r>
      <w:r w:rsidR="00E74FA2">
        <w:rPr>
          <w:sz w:val="24"/>
          <w:szCs w:val="24"/>
        </w:rPr>
        <w:t>. You may want your students to read these chapters and have them talk to their parents and/or grandparents about how what the book says and if what they experienced is the same or different.</w:t>
      </w:r>
    </w:p>
    <w:p w14:paraId="5F06E8E7" w14:textId="59C27E3B" w:rsidR="00155433" w:rsidRDefault="00155433" w:rsidP="008C6602">
      <w:pPr>
        <w:ind w:left="0"/>
      </w:pPr>
    </w:p>
    <w:p w14:paraId="412F799B" w14:textId="77777777" w:rsidR="00E74FA2" w:rsidRPr="00936E1B" w:rsidRDefault="00E74FA2" w:rsidP="00E74FA2">
      <w:pPr>
        <w:ind w:left="0"/>
        <w:rPr>
          <w:sz w:val="24"/>
          <w:szCs w:val="24"/>
        </w:rPr>
      </w:pPr>
      <w:r>
        <w:rPr>
          <w:b/>
          <w:bCs/>
          <w:sz w:val="24"/>
          <w:szCs w:val="24"/>
        </w:rPr>
        <w:t xml:space="preserve">Part IV - </w:t>
      </w:r>
      <w:r w:rsidRPr="00936E1B">
        <w:rPr>
          <w:b/>
          <w:bCs/>
          <w:sz w:val="24"/>
          <w:szCs w:val="24"/>
        </w:rPr>
        <w:t xml:space="preserve">Reading </w:t>
      </w:r>
      <w:r>
        <w:rPr>
          <w:b/>
          <w:bCs/>
          <w:sz w:val="24"/>
          <w:szCs w:val="24"/>
        </w:rPr>
        <w:t>Co</w:t>
      </w:r>
      <w:r w:rsidRPr="00936E1B">
        <w:rPr>
          <w:b/>
          <w:bCs/>
          <w:sz w:val="24"/>
          <w:szCs w:val="24"/>
        </w:rPr>
        <w:t>mprehension Activity</w:t>
      </w:r>
    </w:p>
    <w:p w14:paraId="5558FDD5" w14:textId="77777777" w:rsidR="00E74FA2" w:rsidRDefault="00E74FA2" w:rsidP="00E74FA2">
      <w:pPr>
        <w:ind w:left="0"/>
        <w:rPr>
          <w:sz w:val="24"/>
          <w:szCs w:val="24"/>
        </w:rPr>
      </w:pPr>
    </w:p>
    <w:p w14:paraId="7BFCC570" w14:textId="77777777" w:rsidR="00E74FA2" w:rsidRPr="00E74FA2" w:rsidRDefault="00E74FA2" w:rsidP="00E74FA2">
      <w:pPr>
        <w:pStyle w:val="ListParagraph"/>
        <w:numPr>
          <w:ilvl w:val="0"/>
          <w:numId w:val="1"/>
        </w:numPr>
        <w:rPr>
          <w:i/>
          <w:iCs/>
          <w:sz w:val="24"/>
          <w:szCs w:val="24"/>
        </w:rPr>
      </w:pPr>
      <w:r w:rsidRPr="00E74FA2">
        <w:rPr>
          <w:sz w:val="24"/>
          <w:szCs w:val="24"/>
        </w:rPr>
        <w:t>Volume Four – Leaving Russia – Appendices I, II, III pgs. 65-71 (Begins with</w:t>
      </w:r>
      <w:r w:rsidRPr="00E74FA2">
        <w:rPr>
          <w:i/>
          <w:iCs/>
          <w:sz w:val="24"/>
          <w:szCs w:val="24"/>
        </w:rPr>
        <w:t xml:space="preserve"> Baptized Again – Mennonite Beginnings)</w:t>
      </w:r>
    </w:p>
    <w:p w14:paraId="1A4F5439" w14:textId="1B159C1D" w:rsidR="00E74FA2" w:rsidRPr="00E74FA2" w:rsidRDefault="00E74FA2" w:rsidP="00E74FA2">
      <w:pPr>
        <w:pStyle w:val="ListParagraph"/>
        <w:numPr>
          <w:ilvl w:val="0"/>
          <w:numId w:val="1"/>
        </w:numPr>
        <w:rPr>
          <w:i/>
          <w:iCs/>
          <w:sz w:val="24"/>
          <w:szCs w:val="24"/>
        </w:rPr>
      </w:pPr>
      <w:r>
        <w:rPr>
          <w:sz w:val="24"/>
          <w:szCs w:val="24"/>
        </w:rPr>
        <w:t>Permission was granted to Ms. L. Hansen to p</w:t>
      </w:r>
      <w:r w:rsidRPr="00E74FA2">
        <w:rPr>
          <w:sz w:val="24"/>
          <w:szCs w:val="24"/>
        </w:rPr>
        <w:t>hotocopy the pages for this activity</w:t>
      </w:r>
      <w:r>
        <w:rPr>
          <w:sz w:val="24"/>
          <w:szCs w:val="24"/>
        </w:rPr>
        <w:t>. Alternatively, you could use transparencies and washable markers and ask the students to write their summaries on a separate sheet of paper.</w:t>
      </w:r>
    </w:p>
    <w:p w14:paraId="15719360" w14:textId="77777777" w:rsidR="00E74FA2" w:rsidRDefault="00E74FA2" w:rsidP="008C6602">
      <w:pPr>
        <w:ind w:left="0"/>
      </w:pPr>
    </w:p>
    <w:sectPr w:rsidR="00E74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B5498"/>
    <w:multiLevelType w:val="hybridMultilevel"/>
    <w:tmpl w:val="D5E67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02"/>
    <w:rsid w:val="00155433"/>
    <w:rsid w:val="003A6BEA"/>
    <w:rsid w:val="00514EF3"/>
    <w:rsid w:val="00897911"/>
    <w:rsid w:val="008C6602"/>
    <w:rsid w:val="00A55380"/>
    <w:rsid w:val="00B07C15"/>
    <w:rsid w:val="00E74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2A2E"/>
  <w15:chartTrackingRefBased/>
  <w15:docId w15:val="{F21FD55E-3B76-45A6-B766-422EF1C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32"/>
        <w:szCs w:val="22"/>
        <w:lang w:val="en-CA" w:eastAsia="en-US" w:bidi="ar-SA"/>
      </w:rPr>
    </w:rPrDefault>
    <w:pPrDefault>
      <w:pPr>
        <w:ind w:left="283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Kehler</dc:creator>
  <cp:keywords/>
  <dc:description/>
  <cp:lastModifiedBy>Tina Kehler</cp:lastModifiedBy>
  <cp:revision>2</cp:revision>
  <dcterms:created xsi:type="dcterms:W3CDTF">2021-04-06T19:11:00Z</dcterms:created>
  <dcterms:modified xsi:type="dcterms:W3CDTF">2021-04-06T20:19:00Z</dcterms:modified>
</cp:coreProperties>
</file>